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D3D1F" w14:textId="77777777" w:rsidR="00C9518E" w:rsidRDefault="008B3855">
      <w:r>
        <w:rPr>
          <w:noProof/>
          <w:lang w:eastAsia="en-GB"/>
        </w:rPr>
        <mc:AlternateContent>
          <mc:Choice Requires="wps">
            <w:drawing>
              <wp:anchor distT="0" distB="0" distL="114300" distR="114300" simplePos="0" relativeHeight="251659264" behindDoc="0" locked="0" layoutInCell="1" allowOverlap="1" wp14:anchorId="63019DF6" wp14:editId="5015C53A">
                <wp:simplePos x="0" y="0"/>
                <wp:positionH relativeFrom="column">
                  <wp:posOffset>15903</wp:posOffset>
                </wp:positionH>
                <wp:positionV relativeFrom="paragraph">
                  <wp:posOffset>-206734</wp:posOffset>
                </wp:positionV>
                <wp:extent cx="5613318" cy="1582310"/>
                <wp:effectExtent l="0" t="0" r="26035" b="18415"/>
                <wp:wrapNone/>
                <wp:docPr id="3" name="Rectangle 3"/>
                <wp:cNvGraphicFramePr/>
                <a:graphic xmlns:a="http://schemas.openxmlformats.org/drawingml/2006/main">
                  <a:graphicData uri="http://schemas.microsoft.com/office/word/2010/wordprocessingShape">
                    <wps:wsp>
                      <wps:cNvSpPr/>
                      <wps:spPr>
                        <a:xfrm>
                          <a:off x="0" y="0"/>
                          <a:ext cx="5613318" cy="1582310"/>
                        </a:xfrm>
                        <a:prstGeom prst="rect">
                          <a:avLst/>
                        </a:prstGeom>
                        <a:gradFill>
                          <a:gsLst>
                            <a:gs pos="0">
                              <a:schemeClr val="accent6">
                                <a:lumMod val="40000"/>
                                <a:lumOff val="6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txbx>
                        <w:txbxContent>
                          <w:p w14:paraId="339D1DA9" w14:textId="77777777" w:rsidR="008B3855" w:rsidRDefault="008B3855" w:rsidP="008B3855">
                            <w:pPr>
                              <w:jc w:val="center"/>
                            </w:pPr>
                          </w:p>
                          <w:p w14:paraId="2D87ACB8" w14:textId="77777777" w:rsidR="008B3855" w:rsidRDefault="008B3855" w:rsidP="008B3855">
                            <w:pPr>
                              <w:jc w:val="center"/>
                            </w:pPr>
                          </w:p>
                          <w:p w14:paraId="48F9DDE5" w14:textId="77777777" w:rsidR="008B3855" w:rsidRDefault="008B3855" w:rsidP="008B3855">
                            <w:pPr>
                              <w:jc w:val="center"/>
                            </w:pPr>
                          </w:p>
                          <w:p w14:paraId="34C265DF" w14:textId="6DC2C40B" w:rsidR="001D3B1F" w:rsidRPr="001D3B1F" w:rsidRDefault="00444664" w:rsidP="009F75F7">
                            <w:pPr>
                              <w:spacing w:after="0"/>
                              <w:jc w:val="center"/>
                              <w:rPr>
                                <w:b/>
                                <w:color w:val="385623" w:themeColor="accent6" w:themeShade="80"/>
                                <w:sz w:val="40"/>
                                <w:szCs w:val="52"/>
                              </w:rPr>
                            </w:pPr>
                            <w:r>
                              <w:rPr>
                                <w:b/>
                                <w:color w:val="385623" w:themeColor="accent6" w:themeShade="80"/>
                                <w:sz w:val="40"/>
                                <w:szCs w:val="52"/>
                              </w:rPr>
                              <w:t>FLOORMART MULTI PURPOSE ADHESIVE</w:t>
                            </w:r>
                          </w:p>
                          <w:p w14:paraId="20CAE106" w14:textId="77777777" w:rsidR="008B3855" w:rsidRPr="001D3B1F" w:rsidRDefault="009F75F7" w:rsidP="009F75F7">
                            <w:pPr>
                              <w:spacing w:after="0"/>
                              <w:jc w:val="center"/>
                              <w:rPr>
                                <w:b/>
                                <w:color w:val="385623" w:themeColor="accent6" w:themeShade="80"/>
                                <w:sz w:val="32"/>
                                <w:szCs w:val="52"/>
                              </w:rPr>
                            </w:pPr>
                            <w:r w:rsidRPr="001D3B1F">
                              <w:rPr>
                                <w:b/>
                                <w:color w:val="385623" w:themeColor="accent6" w:themeShade="80"/>
                                <w:sz w:val="32"/>
                                <w:szCs w:val="52"/>
                              </w:rPr>
                              <w:t>TECHNICAL DATA SHEET</w:t>
                            </w:r>
                          </w:p>
                          <w:p w14:paraId="222761D2" w14:textId="77777777" w:rsidR="009F75F7" w:rsidRPr="009F75F7" w:rsidRDefault="009F75F7" w:rsidP="008B3855">
                            <w:pPr>
                              <w:jc w:val="center"/>
                              <w:rPr>
                                <w:b/>
                                <w:color w:val="538135" w:themeColor="accent6" w:themeShade="BF"/>
                                <w:sz w:val="40"/>
                                <w:szCs w:val="5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19DF6" id="Rectangle 3" o:spid="_x0000_s1026" style="position:absolute;margin-left:1.25pt;margin-top:-16.3pt;width:442pt;height:1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" fillcolor="#c5e0b3 [1305]" strokecolor="#1f4d78 [1604]" strokeweight="1pt">
                <v:fill color2="#cde0f2 [980]" colors="0 #c5e0b4;48497f #b5d2ec;54395f #b5d2ec;1 #cee1f2" focus="100%" type="gradient"/>
                <v:textbox>
                  <w:txbxContent>
                    <w:p w14:paraId="339D1DA9" w14:textId="77777777" w:rsidR="008B3855" w:rsidRDefault="008B3855" w:rsidP="008B3855">
                      <w:pPr>
                        <w:jc w:val="center"/>
                      </w:pPr>
                    </w:p>
                    <w:p w14:paraId="2D87ACB8" w14:textId="77777777" w:rsidR="008B3855" w:rsidRDefault="008B3855" w:rsidP="008B3855">
                      <w:pPr>
                        <w:jc w:val="center"/>
                      </w:pPr>
                    </w:p>
                    <w:p w14:paraId="48F9DDE5" w14:textId="77777777" w:rsidR="008B3855" w:rsidRDefault="008B3855" w:rsidP="008B3855">
                      <w:pPr>
                        <w:jc w:val="center"/>
                      </w:pPr>
                    </w:p>
                    <w:p w14:paraId="34C265DF" w14:textId="6DC2C40B" w:rsidR="001D3B1F" w:rsidRPr="001D3B1F" w:rsidRDefault="00444664" w:rsidP="009F75F7">
                      <w:pPr>
                        <w:spacing w:after="0"/>
                        <w:jc w:val="center"/>
                        <w:rPr>
                          <w:b/>
                          <w:color w:val="385623" w:themeColor="accent6" w:themeShade="80"/>
                          <w:sz w:val="40"/>
                          <w:szCs w:val="52"/>
                        </w:rPr>
                      </w:pPr>
                      <w:r>
                        <w:rPr>
                          <w:b/>
                          <w:color w:val="385623" w:themeColor="accent6" w:themeShade="80"/>
                          <w:sz w:val="40"/>
                          <w:szCs w:val="52"/>
                        </w:rPr>
                        <w:t>FLOORMART MULTI PURPOSE ADHESIVE</w:t>
                      </w:r>
                    </w:p>
                    <w:p w14:paraId="20CAE106" w14:textId="77777777" w:rsidR="008B3855" w:rsidRPr="001D3B1F" w:rsidRDefault="009F75F7" w:rsidP="009F75F7">
                      <w:pPr>
                        <w:spacing w:after="0"/>
                        <w:jc w:val="center"/>
                        <w:rPr>
                          <w:b/>
                          <w:color w:val="385623" w:themeColor="accent6" w:themeShade="80"/>
                          <w:sz w:val="32"/>
                          <w:szCs w:val="52"/>
                        </w:rPr>
                      </w:pPr>
                      <w:r w:rsidRPr="001D3B1F">
                        <w:rPr>
                          <w:b/>
                          <w:color w:val="385623" w:themeColor="accent6" w:themeShade="80"/>
                          <w:sz w:val="32"/>
                          <w:szCs w:val="52"/>
                        </w:rPr>
                        <w:t>TECHNICAL DATA SHEET</w:t>
                      </w:r>
                    </w:p>
                    <w:p w14:paraId="222761D2" w14:textId="77777777" w:rsidR="009F75F7" w:rsidRPr="009F75F7" w:rsidRDefault="009F75F7" w:rsidP="008B3855">
                      <w:pPr>
                        <w:jc w:val="center"/>
                        <w:rPr>
                          <w:b/>
                          <w:color w:val="538135" w:themeColor="accent6" w:themeShade="BF"/>
                          <w:sz w:val="40"/>
                          <w:szCs w:val="52"/>
                        </w:rPr>
                      </w:pPr>
                    </w:p>
                  </w:txbxContent>
                </v:textbox>
              </v:rect>
            </w:pict>
          </mc:Fallback>
        </mc:AlternateContent>
      </w:r>
      <w:r w:rsidRPr="00B86BA5">
        <w:rPr>
          <w:noProof/>
          <w:sz w:val="36"/>
          <w:szCs w:val="36"/>
          <w:lang w:eastAsia="en-GB"/>
        </w:rPr>
        <w:drawing>
          <wp:anchor distT="0" distB="0" distL="114300" distR="114300" simplePos="0" relativeHeight="251661312" behindDoc="1" locked="0" layoutInCell="1" allowOverlap="1" wp14:anchorId="6E3C1A42" wp14:editId="12C84E2A">
            <wp:simplePos x="0" y="0"/>
            <wp:positionH relativeFrom="margin">
              <wp:posOffset>1796967</wp:posOffset>
            </wp:positionH>
            <wp:positionV relativeFrom="paragraph">
              <wp:posOffset>0</wp:posOffset>
            </wp:positionV>
            <wp:extent cx="1972310" cy="709295"/>
            <wp:effectExtent l="19050" t="19050" r="27940" b="14605"/>
            <wp:wrapTight wrapText="bothSides">
              <wp:wrapPolygon edited="0">
                <wp:start x="-209" y="-580"/>
                <wp:lineTo x="-209" y="21465"/>
                <wp:lineTo x="21697" y="21465"/>
                <wp:lineTo x="21697" y="-580"/>
                <wp:lineTo x="-209" y="-58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2310" cy="709295"/>
                    </a:xfrm>
                    <a:prstGeom prst="rect">
                      <a:avLst/>
                    </a:prstGeom>
                    <a:solidFill>
                      <a:schemeClr val="bg1">
                        <a:lumMod val="95000"/>
                      </a:schemeClr>
                    </a:solidFill>
                    <a:ln>
                      <a:solidFill>
                        <a:schemeClr val="accent1">
                          <a:shade val="50000"/>
                        </a:schemeClr>
                      </a:solidFill>
                    </a:ln>
                  </pic:spPr>
                </pic:pic>
              </a:graphicData>
            </a:graphic>
            <wp14:sizeRelH relativeFrom="margin">
              <wp14:pctWidth>0</wp14:pctWidth>
            </wp14:sizeRelH>
            <wp14:sizeRelV relativeFrom="margin">
              <wp14:pctHeight>0</wp14:pctHeight>
            </wp14:sizeRelV>
          </wp:anchor>
        </w:drawing>
      </w:r>
    </w:p>
    <w:p w14:paraId="50BEACAC" w14:textId="77777777" w:rsidR="00F25C3E" w:rsidRDefault="00F25C3E"/>
    <w:p w14:paraId="3DF3173B" w14:textId="77777777" w:rsidR="00F25C3E" w:rsidRDefault="00F25C3E"/>
    <w:p w14:paraId="31CEF69F" w14:textId="77777777" w:rsidR="00F25C3E" w:rsidRDefault="00F25C3E"/>
    <w:p w14:paraId="6BD7F079" w14:textId="77777777" w:rsidR="00F25C3E" w:rsidRDefault="00F25C3E"/>
    <w:p w14:paraId="5631536F" w14:textId="77777777" w:rsidR="008B3855" w:rsidRPr="001D3B1F" w:rsidRDefault="008B3855" w:rsidP="001B732D">
      <w:pPr>
        <w:spacing w:after="0"/>
        <w:rPr>
          <w:b/>
          <w:color w:val="385623" w:themeColor="accent6" w:themeShade="80"/>
          <w:sz w:val="20"/>
          <w:u w:val="single"/>
        </w:rPr>
      </w:pPr>
      <w:r w:rsidRPr="001D3B1F">
        <w:rPr>
          <w:b/>
          <w:color w:val="385623" w:themeColor="accent6" w:themeShade="80"/>
          <w:sz w:val="20"/>
          <w:u w:val="single"/>
        </w:rPr>
        <w:t>DESCRIPTION</w:t>
      </w:r>
    </w:p>
    <w:p w14:paraId="3D5A9E5E" w14:textId="159615AA" w:rsidR="00F25C3E" w:rsidRPr="00B618B5" w:rsidRDefault="00444664" w:rsidP="001B732D">
      <w:pPr>
        <w:spacing w:after="0"/>
        <w:jc w:val="both"/>
        <w:rPr>
          <w:sz w:val="20"/>
        </w:rPr>
      </w:pPr>
      <w:r>
        <w:rPr>
          <w:sz w:val="20"/>
        </w:rPr>
        <w:t>A</w:t>
      </w:r>
      <w:r w:rsidR="00696098">
        <w:rPr>
          <w:sz w:val="20"/>
        </w:rPr>
        <w:t xml:space="preserve"> quick and easy to use</w:t>
      </w:r>
      <w:r w:rsidR="00AA5B4C">
        <w:rPr>
          <w:sz w:val="20"/>
        </w:rPr>
        <w:t xml:space="preserve"> multi-purpose, non-</w:t>
      </w:r>
      <w:r w:rsidR="008B3855" w:rsidRPr="00B618B5">
        <w:rPr>
          <w:sz w:val="20"/>
        </w:rPr>
        <w:t>flammable</w:t>
      </w:r>
      <w:r w:rsidR="002E2C6B" w:rsidRPr="00B618B5">
        <w:rPr>
          <w:sz w:val="20"/>
        </w:rPr>
        <w:t xml:space="preserve">, solvent based pressure sensitive adhesive allied to our </w:t>
      </w:r>
      <w:proofErr w:type="spellStart"/>
      <w:r w:rsidR="002E2C6B" w:rsidRPr="00B618B5">
        <w:rPr>
          <w:sz w:val="20"/>
        </w:rPr>
        <w:t>Easi</w:t>
      </w:r>
      <w:proofErr w:type="spellEnd"/>
      <w:r w:rsidR="002E2C6B" w:rsidRPr="00B618B5">
        <w:rPr>
          <w:sz w:val="20"/>
        </w:rPr>
        <w:t xml:space="preserve">-Flo and </w:t>
      </w:r>
      <w:proofErr w:type="spellStart"/>
      <w:r w:rsidR="002E2C6B" w:rsidRPr="00B618B5">
        <w:rPr>
          <w:sz w:val="20"/>
        </w:rPr>
        <w:t>Easi</w:t>
      </w:r>
      <w:proofErr w:type="spellEnd"/>
      <w:r w:rsidR="002E2C6B" w:rsidRPr="00B618B5">
        <w:rPr>
          <w:sz w:val="20"/>
        </w:rPr>
        <w:t>-Control act</w:t>
      </w:r>
      <w:r w:rsidR="00B33261">
        <w:rPr>
          <w:sz w:val="20"/>
        </w:rPr>
        <w:t>uator system which gives finger-</w:t>
      </w:r>
      <w:r w:rsidR="002E2C6B" w:rsidRPr="00B618B5">
        <w:rPr>
          <w:sz w:val="20"/>
        </w:rPr>
        <w:t>tip control</w:t>
      </w:r>
    </w:p>
    <w:p w14:paraId="587A5C35" w14:textId="77777777" w:rsidR="002E2C6B" w:rsidRPr="001D3B1F" w:rsidRDefault="002E2C6B" w:rsidP="001B732D">
      <w:pPr>
        <w:spacing w:after="0"/>
        <w:jc w:val="both"/>
        <w:rPr>
          <w:b/>
          <w:color w:val="385623" w:themeColor="accent6" w:themeShade="80"/>
          <w:sz w:val="20"/>
          <w:u w:val="single"/>
        </w:rPr>
      </w:pPr>
      <w:r w:rsidRPr="001D3B1F">
        <w:rPr>
          <w:b/>
          <w:color w:val="385623" w:themeColor="accent6" w:themeShade="80"/>
          <w:sz w:val="20"/>
          <w:u w:val="single"/>
        </w:rPr>
        <w:t>RECOMMENDED USE</w:t>
      </w:r>
    </w:p>
    <w:p w14:paraId="693031D9" w14:textId="65FD76DF" w:rsidR="002E2C6B" w:rsidRPr="00B618B5" w:rsidRDefault="00444664" w:rsidP="001B732D">
      <w:pPr>
        <w:spacing w:after="0"/>
        <w:jc w:val="both"/>
        <w:rPr>
          <w:sz w:val="20"/>
        </w:rPr>
      </w:pPr>
      <w:r w:rsidRPr="00444664">
        <w:rPr>
          <w:bCs/>
          <w:sz w:val="20"/>
        </w:rPr>
        <w:t>It</w:t>
      </w:r>
      <w:r w:rsidR="002E2C6B" w:rsidRPr="00444664">
        <w:rPr>
          <w:bCs/>
          <w:sz w:val="20"/>
        </w:rPr>
        <w:t xml:space="preserve"> is</w:t>
      </w:r>
      <w:r w:rsidR="007F4866" w:rsidRPr="00444664">
        <w:rPr>
          <w:bCs/>
          <w:sz w:val="20"/>
        </w:rPr>
        <w:t xml:space="preserve"> ideal for bonding lightweight materials such as</w:t>
      </w:r>
      <w:r w:rsidR="007F4866">
        <w:rPr>
          <w:sz w:val="20"/>
        </w:rPr>
        <w:t xml:space="preserve"> foams, felts, fibres or fabrics to each other, or to other substrates such as metal, concrete, stone, wood, most hard plastics, glass, rubber, and many other hard surfaces.</w:t>
      </w:r>
    </w:p>
    <w:p w14:paraId="78F52E71" w14:textId="77777777" w:rsidR="00F25C3E" w:rsidRPr="001D3B1F" w:rsidRDefault="002E2C6B" w:rsidP="001B732D">
      <w:pPr>
        <w:spacing w:after="0"/>
        <w:rPr>
          <w:b/>
          <w:color w:val="385623" w:themeColor="accent6" w:themeShade="80"/>
          <w:sz w:val="20"/>
          <w:u w:val="single"/>
        </w:rPr>
      </w:pPr>
      <w:r w:rsidRPr="001D3B1F">
        <w:rPr>
          <w:b/>
          <w:color w:val="385623" w:themeColor="accent6" w:themeShade="80"/>
          <w:sz w:val="20"/>
          <w:u w:val="single"/>
        </w:rPr>
        <w:t>IMPORTANT</w:t>
      </w:r>
    </w:p>
    <w:p w14:paraId="7103925E" w14:textId="77777777" w:rsidR="002E2C6B" w:rsidRPr="00B618B5" w:rsidRDefault="002E2C6B" w:rsidP="001B732D">
      <w:pPr>
        <w:spacing w:after="0"/>
        <w:rPr>
          <w:sz w:val="20"/>
        </w:rPr>
      </w:pPr>
      <w:r w:rsidRPr="00B618B5">
        <w:rPr>
          <w:sz w:val="20"/>
        </w:rPr>
        <w:t>Always read the Safety Data Sheet before use.</w:t>
      </w:r>
    </w:p>
    <w:p w14:paraId="311320F4" w14:textId="77777777" w:rsidR="002E2C6B" w:rsidRPr="001D3B1F" w:rsidRDefault="002E2C6B" w:rsidP="001B732D">
      <w:pPr>
        <w:spacing w:after="0"/>
        <w:rPr>
          <w:b/>
          <w:color w:val="385623" w:themeColor="accent6" w:themeShade="80"/>
          <w:sz w:val="20"/>
          <w:u w:val="single"/>
        </w:rPr>
      </w:pPr>
      <w:r w:rsidRPr="001D3B1F">
        <w:rPr>
          <w:b/>
          <w:color w:val="385623" w:themeColor="accent6" w:themeShade="80"/>
          <w:sz w:val="20"/>
          <w:u w:val="single"/>
        </w:rPr>
        <w:t>METHOD OF USE</w:t>
      </w:r>
    </w:p>
    <w:p w14:paraId="45E3ED68" w14:textId="77777777" w:rsidR="002E2C6B" w:rsidRPr="001D3B1F" w:rsidRDefault="002E2C6B" w:rsidP="001B732D">
      <w:pPr>
        <w:spacing w:after="0"/>
        <w:jc w:val="center"/>
        <w:rPr>
          <w:b/>
          <w:color w:val="385623" w:themeColor="accent6" w:themeShade="80"/>
          <w:sz w:val="20"/>
          <w:u w:val="single"/>
        </w:rPr>
      </w:pPr>
      <w:r w:rsidRPr="001D3B1F">
        <w:rPr>
          <w:b/>
          <w:color w:val="385623" w:themeColor="accent6" w:themeShade="80"/>
          <w:sz w:val="20"/>
          <w:u w:val="single"/>
        </w:rPr>
        <w:t>Surface Preparation</w:t>
      </w:r>
    </w:p>
    <w:p w14:paraId="54179488" w14:textId="77777777" w:rsidR="002E2C6B" w:rsidRPr="00B618B5" w:rsidRDefault="00B618B5" w:rsidP="001B732D">
      <w:pPr>
        <w:pStyle w:val="ListParagraph"/>
        <w:numPr>
          <w:ilvl w:val="0"/>
          <w:numId w:val="2"/>
        </w:numPr>
        <w:spacing w:after="0"/>
        <w:jc w:val="both"/>
        <w:rPr>
          <w:sz w:val="20"/>
        </w:rPr>
      </w:pPr>
      <w:r w:rsidRPr="00B618B5">
        <w:rPr>
          <w:sz w:val="20"/>
        </w:rPr>
        <w:t>All surfaces must be clean, dry, and free from dust, grease, and any loose material</w:t>
      </w:r>
    </w:p>
    <w:p w14:paraId="27AA18DF" w14:textId="77777777" w:rsidR="00B618B5" w:rsidRPr="00B618B5" w:rsidRDefault="00B618B5" w:rsidP="001B732D">
      <w:pPr>
        <w:pStyle w:val="ListParagraph"/>
        <w:numPr>
          <w:ilvl w:val="0"/>
          <w:numId w:val="2"/>
        </w:numPr>
        <w:spacing w:after="0"/>
        <w:jc w:val="both"/>
        <w:rPr>
          <w:sz w:val="20"/>
        </w:rPr>
      </w:pPr>
      <w:r w:rsidRPr="00B618B5">
        <w:rPr>
          <w:sz w:val="20"/>
        </w:rPr>
        <w:t>If degreasing is necessary, a detergent/water treatment should be considered first. If this is not appropriate, a suitable solvent cleaner may be used. Always check the effects of de</w:t>
      </w:r>
      <w:r w:rsidR="00AA5B4C">
        <w:rPr>
          <w:sz w:val="20"/>
        </w:rPr>
        <w:t>g</w:t>
      </w:r>
      <w:r w:rsidRPr="00B618B5">
        <w:rPr>
          <w:sz w:val="20"/>
        </w:rPr>
        <w:t>reasing solvents on plastics, rubber materials and painted surfaces. A</w:t>
      </w:r>
      <w:r w:rsidR="007F4866">
        <w:rPr>
          <w:sz w:val="20"/>
        </w:rPr>
        <w:t xml:space="preserve">ll </w:t>
      </w:r>
      <w:r w:rsidRPr="00B618B5">
        <w:rPr>
          <w:sz w:val="20"/>
        </w:rPr>
        <w:t>traces of cleaning solvent must be allowed to evaporate before the adhesive is applied</w:t>
      </w:r>
    </w:p>
    <w:p w14:paraId="4388F954" w14:textId="77777777" w:rsidR="002E2C6B" w:rsidRPr="001D3B1F" w:rsidRDefault="001B732D" w:rsidP="001B732D">
      <w:pPr>
        <w:spacing w:after="0"/>
        <w:jc w:val="center"/>
        <w:rPr>
          <w:b/>
          <w:color w:val="385623" w:themeColor="accent6" w:themeShade="80"/>
          <w:sz w:val="20"/>
          <w:u w:val="single"/>
        </w:rPr>
      </w:pPr>
      <w:r w:rsidRPr="001D3B1F">
        <w:rPr>
          <w:b/>
          <w:color w:val="385623" w:themeColor="accent6" w:themeShade="80"/>
          <w:sz w:val="20"/>
          <w:u w:val="single"/>
        </w:rPr>
        <w:t>Application and bonding</w:t>
      </w:r>
    </w:p>
    <w:p w14:paraId="78D1EEF1" w14:textId="77777777" w:rsidR="001B732D" w:rsidRPr="001A42AF" w:rsidRDefault="001B732D" w:rsidP="001B732D">
      <w:pPr>
        <w:pStyle w:val="ListParagraph"/>
        <w:numPr>
          <w:ilvl w:val="0"/>
          <w:numId w:val="3"/>
        </w:numPr>
        <w:spacing w:after="0"/>
        <w:rPr>
          <w:sz w:val="20"/>
        </w:rPr>
      </w:pPr>
      <w:r w:rsidRPr="001A42AF">
        <w:rPr>
          <w:sz w:val="20"/>
        </w:rPr>
        <w:t xml:space="preserve">An even coat of adhesive should be applied to both surfaces to be bonded and </w:t>
      </w:r>
      <w:r w:rsidR="00B656B2">
        <w:rPr>
          <w:sz w:val="20"/>
        </w:rPr>
        <w:t xml:space="preserve">allow the solvent </w:t>
      </w:r>
      <w:r w:rsidRPr="001A42AF">
        <w:rPr>
          <w:sz w:val="20"/>
        </w:rPr>
        <w:t>to evaporate</w:t>
      </w:r>
    </w:p>
    <w:p w14:paraId="28C8952E" w14:textId="77777777" w:rsidR="001B732D" w:rsidRPr="001A42AF" w:rsidRDefault="001B732D" w:rsidP="001B732D">
      <w:pPr>
        <w:pStyle w:val="ListParagraph"/>
        <w:numPr>
          <w:ilvl w:val="0"/>
          <w:numId w:val="3"/>
        </w:numPr>
        <w:spacing w:after="0"/>
        <w:rPr>
          <w:sz w:val="20"/>
        </w:rPr>
      </w:pPr>
      <w:r w:rsidRPr="001A42AF">
        <w:rPr>
          <w:sz w:val="20"/>
        </w:rPr>
        <w:t>Drying is dependent on conditions, but bond should be made within 10 minutes of application</w:t>
      </w:r>
    </w:p>
    <w:p w14:paraId="320FC27B" w14:textId="77777777" w:rsidR="001B732D" w:rsidRDefault="00AA5B4C" w:rsidP="001B732D">
      <w:pPr>
        <w:pStyle w:val="ListParagraph"/>
        <w:numPr>
          <w:ilvl w:val="0"/>
          <w:numId w:val="3"/>
        </w:numPr>
        <w:spacing w:after="0"/>
        <w:rPr>
          <w:sz w:val="20"/>
        </w:rPr>
      </w:pPr>
      <w:r>
        <w:rPr>
          <w:sz w:val="20"/>
        </w:rPr>
        <w:t xml:space="preserve">Bring the two dry </w:t>
      </w:r>
      <w:r w:rsidR="001B732D" w:rsidRPr="001A42AF">
        <w:rPr>
          <w:sz w:val="20"/>
        </w:rPr>
        <w:t xml:space="preserve">surfaces together and press together over the entire bonded area </w:t>
      </w:r>
    </w:p>
    <w:p w14:paraId="21A4A813" w14:textId="77777777" w:rsidR="00B33261" w:rsidRPr="007F4866" w:rsidRDefault="00B33261" w:rsidP="00B33261">
      <w:pPr>
        <w:pStyle w:val="ListParagraph"/>
        <w:numPr>
          <w:ilvl w:val="0"/>
          <w:numId w:val="3"/>
        </w:numPr>
        <w:spacing w:after="0"/>
        <w:rPr>
          <w:b/>
          <w:i/>
          <w:sz w:val="20"/>
        </w:rPr>
      </w:pPr>
      <w:r w:rsidRPr="007F4866">
        <w:rPr>
          <w:b/>
          <w:i/>
          <w:sz w:val="20"/>
        </w:rPr>
        <w:t>This adhesive is not suitable for use with heavily plasticised PVC</w:t>
      </w:r>
    </w:p>
    <w:p w14:paraId="44D0AE01" w14:textId="77777777" w:rsidR="00B33261" w:rsidRPr="001D3B1F" w:rsidRDefault="00B33261" w:rsidP="00B33261">
      <w:pPr>
        <w:spacing w:after="0"/>
        <w:rPr>
          <w:b/>
          <w:color w:val="385623" w:themeColor="accent6" w:themeShade="80"/>
          <w:sz w:val="20"/>
          <w:u w:val="single"/>
        </w:rPr>
      </w:pPr>
      <w:r w:rsidRPr="001D3B1F">
        <w:rPr>
          <w:b/>
          <w:color w:val="385623" w:themeColor="accent6" w:themeShade="80"/>
          <w:sz w:val="20"/>
          <w:u w:val="single"/>
        </w:rPr>
        <w:t>STORAGE</w:t>
      </w:r>
    </w:p>
    <w:p w14:paraId="14B032AF" w14:textId="77777777" w:rsidR="00B33261" w:rsidRPr="00B33261" w:rsidRDefault="00B33261" w:rsidP="00B33261">
      <w:pPr>
        <w:spacing w:after="0"/>
        <w:rPr>
          <w:sz w:val="20"/>
        </w:rPr>
      </w:pPr>
      <w:r w:rsidRPr="00B33261">
        <w:rPr>
          <w:sz w:val="20"/>
        </w:rPr>
        <w:t>Store in a cool dry well ventilated area at between 10-30</w:t>
      </w:r>
      <w:r w:rsidRPr="00B33261">
        <w:rPr>
          <w:rFonts w:cstheme="minorHAnsi"/>
          <w:sz w:val="20"/>
        </w:rPr>
        <w:t>°</w:t>
      </w:r>
      <w:r w:rsidRPr="00B33261">
        <w:rPr>
          <w:sz w:val="20"/>
        </w:rPr>
        <w:t>C</w:t>
      </w:r>
    </w:p>
    <w:p w14:paraId="469520A4" w14:textId="77777777" w:rsidR="00B33261" w:rsidRPr="001D3B1F" w:rsidRDefault="00B33261" w:rsidP="00B33261">
      <w:pPr>
        <w:spacing w:after="0"/>
        <w:rPr>
          <w:b/>
          <w:color w:val="385623" w:themeColor="accent6" w:themeShade="80"/>
          <w:sz w:val="20"/>
          <w:u w:val="single"/>
        </w:rPr>
      </w:pPr>
      <w:r w:rsidRPr="001D3B1F">
        <w:rPr>
          <w:b/>
          <w:color w:val="385623" w:themeColor="accent6" w:themeShade="80"/>
          <w:sz w:val="20"/>
          <w:u w:val="single"/>
        </w:rPr>
        <w:t>SHELF LIFE</w:t>
      </w:r>
    </w:p>
    <w:p w14:paraId="62120ED7" w14:textId="77777777" w:rsidR="00B33261" w:rsidRPr="00B33261" w:rsidRDefault="00B33261" w:rsidP="00B33261">
      <w:pPr>
        <w:spacing w:after="0"/>
        <w:rPr>
          <w:sz w:val="20"/>
        </w:rPr>
      </w:pPr>
      <w:r w:rsidRPr="00B33261">
        <w:rPr>
          <w:sz w:val="20"/>
        </w:rPr>
        <w:t>One year from the date of manufacture</w:t>
      </w:r>
    </w:p>
    <w:p w14:paraId="69D03115" w14:textId="77777777" w:rsidR="00B33261" w:rsidRPr="00B33261" w:rsidRDefault="00B33261" w:rsidP="00B33261">
      <w:pPr>
        <w:pStyle w:val="ListParagraph"/>
        <w:rPr>
          <w:b/>
          <w:sz w:val="20"/>
        </w:rPr>
      </w:pPr>
    </w:p>
    <w:p w14:paraId="72F7F0CE" w14:textId="77777777" w:rsidR="00B33261" w:rsidRPr="00B33261" w:rsidRDefault="00B33261" w:rsidP="00B33261">
      <w:pPr>
        <w:spacing w:after="0"/>
        <w:rPr>
          <w:sz w:val="20"/>
        </w:rPr>
      </w:pPr>
    </w:p>
    <w:p w14:paraId="2CDE0A8B" w14:textId="77777777" w:rsidR="001B732D" w:rsidRPr="001A42AF" w:rsidRDefault="001B732D" w:rsidP="001B732D">
      <w:pPr>
        <w:spacing w:after="0"/>
        <w:rPr>
          <w:sz w:val="20"/>
        </w:rPr>
      </w:pPr>
    </w:p>
    <w:p w14:paraId="5D474C23" w14:textId="77777777" w:rsidR="001B732D" w:rsidRDefault="001B732D" w:rsidP="001B732D">
      <w:pPr>
        <w:spacing w:after="0"/>
        <w:rPr>
          <w:color w:val="00B050"/>
          <w:sz w:val="20"/>
        </w:rPr>
      </w:pPr>
    </w:p>
    <w:p w14:paraId="1340CC29" w14:textId="77777777" w:rsidR="001B732D" w:rsidRDefault="001B732D" w:rsidP="001B732D">
      <w:pPr>
        <w:spacing w:after="0"/>
        <w:rPr>
          <w:color w:val="00B050"/>
          <w:sz w:val="20"/>
        </w:rPr>
      </w:pPr>
    </w:p>
    <w:p w14:paraId="37E4F485" w14:textId="77777777" w:rsidR="001B732D" w:rsidRDefault="001B732D" w:rsidP="001B732D">
      <w:pPr>
        <w:spacing w:after="0"/>
        <w:rPr>
          <w:color w:val="00B050"/>
          <w:sz w:val="20"/>
        </w:rPr>
      </w:pPr>
    </w:p>
    <w:p w14:paraId="658571EC" w14:textId="77777777" w:rsidR="001B732D" w:rsidRDefault="001B732D" w:rsidP="001B732D">
      <w:pPr>
        <w:spacing w:after="0"/>
        <w:rPr>
          <w:color w:val="00B050"/>
          <w:sz w:val="20"/>
        </w:rPr>
      </w:pPr>
    </w:p>
    <w:p w14:paraId="4B70623F" w14:textId="77777777" w:rsidR="001B732D" w:rsidRDefault="001B732D" w:rsidP="001B732D">
      <w:pPr>
        <w:spacing w:after="0"/>
        <w:rPr>
          <w:color w:val="00B050"/>
          <w:sz w:val="20"/>
        </w:rPr>
      </w:pPr>
    </w:p>
    <w:p w14:paraId="3175D9DD" w14:textId="77777777" w:rsidR="001B732D" w:rsidRDefault="001B732D" w:rsidP="001B732D">
      <w:pPr>
        <w:spacing w:after="0"/>
        <w:rPr>
          <w:color w:val="00B050"/>
          <w:sz w:val="20"/>
        </w:rPr>
      </w:pPr>
    </w:p>
    <w:p w14:paraId="1133B7FF" w14:textId="77777777" w:rsidR="001B732D" w:rsidRDefault="001B732D" w:rsidP="001B732D">
      <w:pPr>
        <w:spacing w:after="0"/>
        <w:rPr>
          <w:color w:val="00B050"/>
          <w:sz w:val="20"/>
        </w:rPr>
      </w:pPr>
    </w:p>
    <w:p w14:paraId="08267AC5" w14:textId="77777777" w:rsidR="001B732D" w:rsidRPr="001D3B1F" w:rsidRDefault="001A42AF" w:rsidP="001B732D">
      <w:pPr>
        <w:spacing w:after="0"/>
        <w:rPr>
          <w:b/>
          <w:color w:val="385623" w:themeColor="accent6" w:themeShade="80"/>
          <w:sz w:val="20"/>
          <w:u w:val="single"/>
        </w:rPr>
      </w:pPr>
      <w:r w:rsidRPr="001D3B1F">
        <w:rPr>
          <w:b/>
          <w:color w:val="385623" w:themeColor="accent6" w:themeShade="80"/>
          <w:sz w:val="20"/>
          <w:u w:val="single"/>
        </w:rPr>
        <w:t>TYPICAL CHARACTERISTICS</w:t>
      </w:r>
    </w:p>
    <w:p w14:paraId="474095D5" w14:textId="77777777" w:rsidR="001B732D" w:rsidRPr="001D3B1F" w:rsidRDefault="001B732D" w:rsidP="001B732D">
      <w:pPr>
        <w:spacing w:after="0"/>
        <w:rPr>
          <w:color w:val="385623" w:themeColor="accent6" w:themeShade="80"/>
          <w:sz w:val="20"/>
        </w:rPr>
      </w:pPr>
    </w:p>
    <w:tbl>
      <w:tblPr>
        <w:tblStyle w:val="TableGrid"/>
        <w:tblW w:w="0" w:type="auto"/>
        <w:tblLook w:val="04A0" w:firstRow="1" w:lastRow="0" w:firstColumn="1" w:lastColumn="0" w:noHBand="0" w:noVBand="1"/>
      </w:tblPr>
      <w:tblGrid>
        <w:gridCol w:w="2074"/>
        <w:gridCol w:w="2075"/>
      </w:tblGrid>
      <w:tr w:rsidR="001D3B1F" w:rsidRPr="001D3B1F" w14:paraId="200EA804" w14:textId="77777777" w:rsidTr="001A42AF">
        <w:tc>
          <w:tcPr>
            <w:tcW w:w="2074" w:type="dxa"/>
          </w:tcPr>
          <w:p w14:paraId="13C0E40C" w14:textId="77777777" w:rsidR="001A42AF" w:rsidRPr="001D3B1F" w:rsidRDefault="001A42AF" w:rsidP="001B732D">
            <w:pPr>
              <w:rPr>
                <w:color w:val="385623" w:themeColor="accent6" w:themeShade="80"/>
                <w:sz w:val="20"/>
              </w:rPr>
            </w:pPr>
            <w:r w:rsidRPr="001D3B1F">
              <w:rPr>
                <w:color w:val="385623" w:themeColor="accent6" w:themeShade="80"/>
                <w:sz w:val="20"/>
              </w:rPr>
              <w:t>Physical appearance</w:t>
            </w:r>
          </w:p>
        </w:tc>
        <w:tc>
          <w:tcPr>
            <w:tcW w:w="2075" w:type="dxa"/>
          </w:tcPr>
          <w:p w14:paraId="69F967C4" w14:textId="77777777" w:rsidR="001A42AF" w:rsidRPr="001D3B1F" w:rsidRDefault="001A42AF" w:rsidP="001B732D">
            <w:pPr>
              <w:rPr>
                <w:color w:val="385623" w:themeColor="accent6" w:themeShade="80"/>
                <w:sz w:val="20"/>
              </w:rPr>
            </w:pPr>
            <w:r w:rsidRPr="001D3B1F">
              <w:rPr>
                <w:color w:val="385623" w:themeColor="accent6" w:themeShade="80"/>
                <w:sz w:val="20"/>
              </w:rPr>
              <w:t>Low viscosity liquid</w:t>
            </w:r>
          </w:p>
        </w:tc>
      </w:tr>
      <w:tr w:rsidR="001D3B1F" w:rsidRPr="001D3B1F" w14:paraId="4E7CA2B6" w14:textId="77777777" w:rsidTr="001A42AF">
        <w:tc>
          <w:tcPr>
            <w:tcW w:w="2074" w:type="dxa"/>
          </w:tcPr>
          <w:p w14:paraId="6D5064D0" w14:textId="77777777" w:rsidR="001A42AF" w:rsidRPr="001D3B1F" w:rsidRDefault="001A42AF" w:rsidP="001B732D">
            <w:pPr>
              <w:rPr>
                <w:color w:val="385623" w:themeColor="accent6" w:themeShade="80"/>
                <w:sz w:val="20"/>
              </w:rPr>
            </w:pPr>
            <w:r w:rsidRPr="001D3B1F">
              <w:rPr>
                <w:color w:val="385623" w:themeColor="accent6" w:themeShade="80"/>
                <w:sz w:val="20"/>
              </w:rPr>
              <w:t>Colour</w:t>
            </w:r>
          </w:p>
        </w:tc>
        <w:tc>
          <w:tcPr>
            <w:tcW w:w="2075" w:type="dxa"/>
          </w:tcPr>
          <w:p w14:paraId="403864B7" w14:textId="77777777" w:rsidR="001A42AF" w:rsidRPr="001D3B1F" w:rsidRDefault="001A42AF" w:rsidP="001B732D">
            <w:pPr>
              <w:rPr>
                <w:color w:val="385623" w:themeColor="accent6" w:themeShade="80"/>
                <w:sz w:val="20"/>
              </w:rPr>
            </w:pPr>
            <w:r w:rsidRPr="001D3B1F">
              <w:rPr>
                <w:color w:val="385623" w:themeColor="accent6" w:themeShade="80"/>
                <w:sz w:val="20"/>
              </w:rPr>
              <w:t>Amber</w:t>
            </w:r>
          </w:p>
        </w:tc>
      </w:tr>
      <w:tr w:rsidR="001D3B1F" w:rsidRPr="001D3B1F" w14:paraId="322565EA" w14:textId="77777777" w:rsidTr="001A42AF">
        <w:tc>
          <w:tcPr>
            <w:tcW w:w="2074" w:type="dxa"/>
          </w:tcPr>
          <w:p w14:paraId="1E7AFEFB" w14:textId="77777777" w:rsidR="001A42AF" w:rsidRPr="001D3B1F" w:rsidRDefault="001A42AF" w:rsidP="001B732D">
            <w:pPr>
              <w:rPr>
                <w:color w:val="385623" w:themeColor="accent6" w:themeShade="80"/>
                <w:sz w:val="20"/>
              </w:rPr>
            </w:pPr>
            <w:r w:rsidRPr="001D3B1F">
              <w:rPr>
                <w:color w:val="385623" w:themeColor="accent6" w:themeShade="80"/>
                <w:sz w:val="20"/>
              </w:rPr>
              <w:t>Chemical Type</w:t>
            </w:r>
          </w:p>
        </w:tc>
        <w:tc>
          <w:tcPr>
            <w:tcW w:w="2075" w:type="dxa"/>
          </w:tcPr>
          <w:p w14:paraId="6F949502" w14:textId="77777777" w:rsidR="001A42AF" w:rsidRPr="001D3B1F" w:rsidRDefault="001A42AF" w:rsidP="001B732D">
            <w:pPr>
              <w:rPr>
                <w:color w:val="385623" w:themeColor="accent6" w:themeShade="80"/>
                <w:sz w:val="20"/>
              </w:rPr>
            </w:pPr>
            <w:r w:rsidRPr="001D3B1F">
              <w:rPr>
                <w:color w:val="385623" w:themeColor="accent6" w:themeShade="80"/>
                <w:sz w:val="20"/>
              </w:rPr>
              <w:t>Blend of synthetic rubber and resins</w:t>
            </w:r>
          </w:p>
        </w:tc>
      </w:tr>
      <w:tr w:rsidR="001D3B1F" w:rsidRPr="001D3B1F" w14:paraId="710ECB8D" w14:textId="77777777" w:rsidTr="001A42AF">
        <w:tc>
          <w:tcPr>
            <w:tcW w:w="2074" w:type="dxa"/>
          </w:tcPr>
          <w:p w14:paraId="5FC382F8" w14:textId="77777777" w:rsidR="001A42AF" w:rsidRPr="001D3B1F" w:rsidRDefault="001A42AF" w:rsidP="001B732D">
            <w:pPr>
              <w:rPr>
                <w:color w:val="385623" w:themeColor="accent6" w:themeShade="80"/>
                <w:sz w:val="20"/>
              </w:rPr>
            </w:pPr>
            <w:r w:rsidRPr="001D3B1F">
              <w:rPr>
                <w:color w:val="385623" w:themeColor="accent6" w:themeShade="80"/>
                <w:sz w:val="20"/>
              </w:rPr>
              <w:t>Solvent</w:t>
            </w:r>
          </w:p>
        </w:tc>
        <w:tc>
          <w:tcPr>
            <w:tcW w:w="2075" w:type="dxa"/>
          </w:tcPr>
          <w:p w14:paraId="6A845070" w14:textId="77777777" w:rsidR="001A42AF" w:rsidRPr="001D3B1F" w:rsidRDefault="001A42AF" w:rsidP="001B732D">
            <w:pPr>
              <w:rPr>
                <w:color w:val="385623" w:themeColor="accent6" w:themeShade="80"/>
                <w:sz w:val="20"/>
              </w:rPr>
            </w:pPr>
            <w:r w:rsidRPr="001D3B1F">
              <w:rPr>
                <w:color w:val="385623" w:themeColor="accent6" w:themeShade="80"/>
                <w:sz w:val="20"/>
              </w:rPr>
              <w:t>Chlorinated Hydrocarbon</w:t>
            </w:r>
          </w:p>
        </w:tc>
      </w:tr>
      <w:tr w:rsidR="001D3B1F" w:rsidRPr="001D3B1F" w14:paraId="4DC5D3F6" w14:textId="77777777" w:rsidTr="001A42AF">
        <w:tc>
          <w:tcPr>
            <w:tcW w:w="2074" w:type="dxa"/>
          </w:tcPr>
          <w:p w14:paraId="5FA3CB85" w14:textId="77777777" w:rsidR="001A42AF" w:rsidRPr="001D3B1F" w:rsidRDefault="001A42AF" w:rsidP="001B732D">
            <w:pPr>
              <w:rPr>
                <w:color w:val="385623" w:themeColor="accent6" w:themeShade="80"/>
                <w:sz w:val="20"/>
              </w:rPr>
            </w:pPr>
            <w:r w:rsidRPr="001D3B1F">
              <w:rPr>
                <w:color w:val="385623" w:themeColor="accent6" w:themeShade="80"/>
                <w:sz w:val="20"/>
              </w:rPr>
              <w:t>Viscosity Brookfield RVT 20rpm at 25</w:t>
            </w:r>
            <w:r w:rsidRPr="001D3B1F">
              <w:rPr>
                <w:rFonts w:cstheme="minorHAnsi"/>
                <w:color w:val="385623" w:themeColor="accent6" w:themeShade="80"/>
                <w:sz w:val="20"/>
              </w:rPr>
              <w:t>°</w:t>
            </w:r>
            <w:r w:rsidRPr="001D3B1F">
              <w:rPr>
                <w:color w:val="385623" w:themeColor="accent6" w:themeShade="80"/>
                <w:sz w:val="20"/>
              </w:rPr>
              <w:t>C [</w:t>
            </w:r>
            <w:proofErr w:type="spellStart"/>
            <w:r w:rsidRPr="001D3B1F">
              <w:rPr>
                <w:color w:val="385623" w:themeColor="accent6" w:themeShade="80"/>
                <w:sz w:val="20"/>
              </w:rPr>
              <w:t>mPa.s</w:t>
            </w:r>
            <w:proofErr w:type="spellEnd"/>
            <w:r w:rsidRPr="001D3B1F">
              <w:rPr>
                <w:color w:val="385623" w:themeColor="accent6" w:themeShade="80"/>
                <w:sz w:val="20"/>
              </w:rPr>
              <w:t xml:space="preserve">] </w:t>
            </w:r>
          </w:p>
        </w:tc>
        <w:tc>
          <w:tcPr>
            <w:tcW w:w="2075" w:type="dxa"/>
          </w:tcPr>
          <w:p w14:paraId="29C38B5A" w14:textId="77777777" w:rsidR="001A42AF" w:rsidRPr="001D3B1F" w:rsidRDefault="007F4866" w:rsidP="001B732D">
            <w:pPr>
              <w:rPr>
                <w:color w:val="385623" w:themeColor="accent6" w:themeShade="80"/>
                <w:sz w:val="20"/>
              </w:rPr>
            </w:pPr>
            <w:proofErr w:type="spellStart"/>
            <w:r w:rsidRPr="001D3B1F">
              <w:rPr>
                <w:color w:val="385623" w:themeColor="accent6" w:themeShade="80"/>
                <w:sz w:val="20"/>
              </w:rPr>
              <w:t>Approx</w:t>
            </w:r>
            <w:proofErr w:type="spellEnd"/>
            <w:r w:rsidRPr="001D3B1F">
              <w:rPr>
                <w:color w:val="385623" w:themeColor="accent6" w:themeShade="80"/>
                <w:sz w:val="20"/>
              </w:rPr>
              <w:t xml:space="preserve"> 90</w:t>
            </w:r>
          </w:p>
        </w:tc>
      </w:tr>
      <w:tr w:rsidR="001D3B1F" w:rsidRPr="001D3B1F" w14:paraId="1085DB05" w14:textId="77777777" w:rsidTr="003908F3">
        <w:trPr>
          <w:trHeight w:val="247"/>
        </w:trPr>
        <w:tc>
          <w:tcPr>
            <w:tcW w:w="2074" w:type="dxa"/>
          </w:tcPr>
          <w:p w14:paraId="39615D28" w14:textId="77777777" w:rsidR="001A42AF" w:rsidRPr="001D3B1F" w:rsidRDefault="001A42AF" w:rsidP="001B732D">
            <w:pPr>
              <w:rPr>
                <w:color w:val="385623" w:themeColor="accent6" w:themeShade="80"/>
                <w:sz w:val="20"/>
              </w:rPr>
            </w:pPr>
            <w:r w:rsidRPr="001D3B1F">
              <w:rPr>
                <w:color w:val="385623" w:themeColor="accent6" w:themeShade="80"/>
                <w:sz w:val="20"/>
              </w:rPr>
              <w:t>Total solids content</w:t>
            </w:r>
          </w:p>
        </w:tc>
        <w:tc>
          <w:tcPr>
            <w:tcW w:w="2075" w:type="dxa"/>
          </w:tcPr>
          <w:p w14:paraId="673FAABC" w14:textId="77777777" w:rsidR="001A42AF" w:rsidRPr="001D3B1F" w:rsidRDefault="006A3019" w:rsidP="001B732D">
            <w:pPr>
              <w:rPr>
                <w:color w:val="385623" w:themeColor="accent6" w:themeShade="80"/>
                <w:sz w:val="20"/>
              </w:rPr>
            </w:pPr>
            <w:proofErr w:type="spellStart"/>
            <w:r>
              <w:rPr>
                <w:color w:val="385623" w:themeColor="accent6" w:themeShade="80"/>
                <w:sz w:val="20"/>
              </w:rPr>
              <w:t>Approx</w:t>
            </w:r>
            <w:proofErr w:type="spellEnd"/>
            <w:r>
              <w:rPr>
                <w:color w:val="385623" w:themeColor="accent6" w:themeShade="80"/>
                <w:sz w:val="20"/>
              </w:rPr>
              <w:t xml:space="preserve"> 24-26</w:t>
            </w:r>
            <w:r w:rsidR="003908F3" w:rsidRPr="001D3B1F">
              <w:rPr>
                <w:color w:val="385623" w:themeColor="accent6" w:themeShade="80"/>
                <w:sz w:val="20"/>
              </w:rPr>
              <w:t>%</w:t>
            </w:r>
          </w:p>
        </w:tc>
      </w:tr>
      <w:tr w:rsidR="001D3B1F" w:rsidRPr="001D3B1F" w14:paraId="051D6F76" w14:textId="77777777" w:rsidTr="001A42AF">
        <w:tc>
          <w:tcPr>
            <w:tcW w:w="2074" w:type="dxa"/>
          </w:tcPr>
          <w:p w14:paraId="7A3017CB" w14:textId="77777777" w:rsidR="001A42AF" w:rsidRPr="001D3B1F" w:rsidRDefault="001A42AF" w:rsidP="001B732D">
            <w:pPr>
              <w:rPr>
                <w:color w:val="385623" w:themeColor="accent6" w:themeShade="80"/>
                <w:sz w:val="20"/>
              </w:rPr>
            </w:pPr>
            <w:r w:rsidRPr="001D3B1F">
              <w:rPr>
                <w:color w:val="385623" w:themeColor="accent6" w:themeShade="80"/>
                <w:sz w:val="20"/>
              </w:rPr>
              <w:t>Relative Density</w:t>
            </w:r>
          </w:p>
        </w:tc>
        <w:tc>
          <w:tcPr>
            <w:tcW w:w="2075" w:type="dxa"/>
          </w:tcPr>
          <w:p w14:paraId="220DC3CE" w14:textId="77777777" w:rsidR="001A42AF" w:rsidRPr="001D3B1F" w:rsidRDefault="007F4866" w:rsidP="001B732D">
            <w:pPr>
              <w:rPr>
                <w:color w:val="385623" w:themeColor="accent6" w:themeShade="80"/>
                <w:sz w:val="20"/>
              </w:rPr>
            </w:pPr>
            <w:proofErr w:type="spellStart"/>
            <w:r w:rsidRPr="001D3B1F">
              <w:rPr>
                <w:color w:val="385623" w:themeColor="accent6" w:themeShade="80"/>
                <w:sz w:val="20"/>
              </w:rPr>
              <w:t>Approx</w:t>
            </w:r>
            <w:proofErr w:type="spellEnd"/>
            <w:r w:rsidRPr="001D3B1F">
              <w:rPr>
                <w:color w:val="385623" w:themeColor="accent6" w:themeShade="80"/>
                <w:sz w:val="20"/>
              </w:rPr>
              <w:t xml:space="preserve"> 1.2</w:t>
            </w:r>
          </w:p>
        </w:tc>
      </w:tr>
      <w:tr w:rsidR="001A42AF" w:rsidRPr="001D3B1F" w14:paraId="05687ACB" w14:textId="77777777" w:rsidTr="001A42AF">
        <w:tc>
          <w:tcPr>
            <w:tcW w:w="2074" w:type="dxa"/>
          </w:tcPr>
          <w:p w14:paraId="5549A921" w14:textId="77777777" w:rsidR="001A42AF" w:rsidRPr="001D3B1F" w:rsidRDefault="001A42AF" w:rsidP="001B732D">
            <w:pPr>
              <w:rPr>
                <w:color w:val="385623" w:themeColor="accent6" w:themeShade="80"/>
                <w:sz w:val="20"/>
              </w:rPr>
            </w:pPr>
            <w:r w:rsidRPr="001D3B1F">
              <w:rPr>
                <w:color w:val="385623" w:themeColor="accent6" w:themeShade="80"/>
                <w:sz w:val="20"/>
              </w:rPr>
              <w:t>Open Time</w:t>
            </w:r>
          </w:p>
        </w:tc>
        <w:tc>
          <w:tcPr>
            <w:tcW w:w="2075" w:type="dxa"/>
          </w:tcPr>
          <w:p w14:paraId="05EA37B9" w14:textId="77777777" w:rsidR="001A42AF" w:rsidRPr="001D3B1F" w:rsidRDefault="001A42AF" w:rsidP="001B732D">
            <w:pPr>
              <w:rPr>
                <w:color w:val="385623" w:themeColor="accent6" w:themeShade="80"/>
                <w:sz w:val="20"/>
              </w:rPr>
            </w:pPr>
            <w:r w:rsidRPr="001D3B1F">
              <w:rPr>
                <w:color w:val="385623" w:themeColor="accent6" w:themeShade="80"/>
                <w:sz w:val="20"/>
              </w:rPr>
              <w:t>1-10 minutes</w:t>
            </w:r>
          </w:p>
        </w:tc>
      </w:tr>
    </w:tbl>
    <w:p w14:paraId="143B7545" w14:textId="77777777" w:rsidR="001B732D" w:rsidRPr="001D3B1F" w:rsidRDefault="001B732D" w:rsidP="001B732D">
      <w:pPr>
        <w:spacing w:after="0"/>
        <w:rPr>
          <w:color w:val="385623" w:themeColor="accent6" w:themeShade="80"/>
          <w:sz w:val="20"/>
        </w:rPr>
      </w:pPr>
    </w:p>
    <w:p w14:paraId="480EA265" w14:textId="77777777" w:rsidR="008A0796" w:rsidRPr="001D3B1F" w:rsidRDefault="008A0796" w:rsidP="001B732D">
      <w:pPr>
        <w:spacing w:after="0"/>
        <w:rPr>
          <w:color w:val="385623" w:themeColor="accent6" w:themeShade="80"/>
          <w:sz w:val="20"/>
        </w:rPr>
      </w:pPr>
    </w:p>
    <w:p w14:paraId="7478DDB8" w14:textId="77777777" w:rsidR="001B732D" w:rsidRPr="001D3B1F" w:rsidRDefault="003058E5" w:rsidP="001B732D">
      <w:pPr>
        <w:rPr>
          <w:b/>
          <w:color w:val="385623" w:themeColor="accent6" w:themeShade="80"/>
          <w:sz w:val="20"/>
          <w:u w:val="single"/>
        </w:rPr>
      </w:pPr>
      <w:r w:rsidRPr="001D3B1F">
        <w:rPr>
          <w:b/>
          <w:color w:val="385623" w:themeColor="accent6" w:themeShade="80"/>
          <w:sz w:val="20"/>
          <w:u w:val="single"/>
        </w:rPr>
        <w:t>MANUFACTURING STANDARD</w:t>
      </w:r>
    </w:p>
    <w:p w14:paraId="5BDEE4A9" w14:textId="77777777" w:rsidR="003058E5" w:rsidRPr="003058E5" w:rsidRDefault="003058E5" w:rsidP="003058E5">
      <w:pPr>
        <w:rPr>
          <w:sz w:val="20"/>
        </w:rPr>
      </w:pPr>
      <w:r>
        <w:rPr>
          <w:sz w:val="20"/>
        </w:rPr>
        <w:t xml:space="preserve">                            </w:t>
      </w:r>
      <w:r w:rsidRPr="003058E5">
        <w:rPr>
          <w:sz w:val="20"/>
        </w:rPr>
        <w:t>ISO 9001:2015</w:t>
      </w:r>
    </w:p>
    <w:p w14:paraId="10F71B50" w14:textId="77777777" w:rsidR="003058E5" w:rsidRPr="003058E5" w:rsidRDefault="003058E5" w:rsidP="001B732D">
      <w:pPr>
        <w:rPr>
          <w:color w:val="00B050"/>
          <w:sz w:val="20"/>
        </w:rPr>
      </w:pPr>
      <w:r>
        <w:rPr>
          <w:color w:val="00B050"/>
          <w:sz w:val="20"/>
        </w:rPr>
        <w:tab/>
      </w:r>
      <w:r>
        <w:rPr>
          <w:noProof/>
          <w:lang w:eastAsia="en-GB"/>
        </w:rPr>
        <w:drawing>
          <wp:inline distT="0" distB="0" distL="0" distR="0" wp14:anchorId="296B6239" wp14:editId="17A3EAB1">
            <wp:extent cx="1486894" cy="906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00980" cy="914730"/>
                    </a:xfrm>
                    <a:prstGeom prst="rect">
                      <a:avLst/>
                    </a:prstGeom>
                  </pic:spPr>
                </pic:pic>
              </a:graphicData>
            </a:graphic>
          </wp:inline>
        </w:drawing>
      </w:r>
    </w:p>
    <w:p w14:paraId="72DF7F76" w14:textId="77777777" w:rsidR="00AA5B4C" w:rsidRDefault="00AA5B4C" w:rsidP="00946060">
      <w:pPr>
        <w:spacing w:after="0"/>
        <w:rPr>
          <w:b/>
          <w:color w:val="00B050"/>
          <w:sz w:val="20"/>
          <w:u w:val="single"/>
        </w:rPr>
      </w:pPr>
    </w:p>
    <w:p w14:paraId="0329C2F0" w14:textId="77777777" w:rsidR="00F25C3E" w:rsidRPr="001D3B1F" w:rsidRDefault="00B33261" w:rsidP="00946060">
      <w:pPr>
        <w:spacing w:after="0"/>
        <w:rPr>
          <w:b/>
          <w:color w:val="385623" w:themeColor="accent6" w:themeShade="80"/>
          <w:sz w:val="20"/>
          <w:u w:val="single"/>
        </w:rPr>
      </w:pPr>
      <w:r w:rsidRPr="001D3B1F">
        <w:rPr>
          <w:b/>
          <w:color w:val="385623" w:themeColor="accent6" w:themeShade="80"/>
          <w:sz w:val="20"/>
          <w:u w:val="single"/>
        </w:rPr>
        <w:t>DISCLAIMER</w:t>
      </w:r>
    </w:p>
    <w:p w14:paraId="74282868" w14:textId="77777777" w:rsidR="00B33261" w:rsidRPr="00E0098A" w:rsidRDefault="00B33261" w:rsidP="00B33261">
      <w:pPr>
        <w:spacing w:after="0"/>
        <w:jc w:val="both"/>
        <w:rPr>
          <w:rFonts w:ascii="Calibri" w:hAnsi="Calibri"/>
          <w:b/>
          <w:sz w:val="16"/>
          <w:szCs w:val="16"/>
        </w:rPr>
      </w:pPr>
      <w:r w:rsidRPr="00E0098A">
        <w:rPr>
          <w:rFonts w:ascii="Calibri" w:hAnsi="Calibri"/>
          <w:b/>
          <w:sz w:val="16"/>
          <w:szCs w:val="16"/>
        </w:rPr>
        <w:t>The Information provided herein, especially recommendations for the usage and the application of this products, is provided in good faith, and no liability on the part of AFT Aerosols Ltd is stated or implied.  No employee of AFT Aerosols Ltd has the authority to waive or alter in any way the content of this document.</w:t>
      </w:r>
      <w:r w:rsidR="00946060">
        <w:rPr>
          <w:rFonts w:ascii="Calibri" w:hAnsi="Calibri"/>
          <w:b/>
          <w:sz w:val="16"/>
          <w:szCs w:val="16"/>
        </w:rPr>
        <w:t xml:space="preserve"> </w:t>
      </w:r>
      <w:r w:rsidRPr="00E0098A">
        <w:rPr>
          <w:rFonts w:ascii="Calibri" w:hAnsi="Calibri"/>
          <w:b/>
          <w:sz w:val="16"/>
          <w:szCs w:val="16"/>
        </w:rPr>
        <w:t xml:space="preserve">Due to different materials used, as well as to varying working conditions, production techniques, and the requirements of the end users, all of which are beyond our control, we strongly recommend that thorough and extensive trials are carried out in order to test the suitability of our products with regard to the required processes and applications. This should also include an ageing test which should be applied to all substrates </w:t>
      </w:r>
      <w:proofErr w:type="spellStart"/>
      <w:r w:rsidRPr="00E0098A">
        <w:rPr>
          <w:rFonts w:ascii="Calibri" w:hAnsi="Calibri"/>
          <w:b/>
          <w:sz w:val="16"/>
          <w:szCs w:val="16"/>
        </w:rPr>
        <w:t>used.It</w:t>
      </w:r>
      <w:proofErr w:type="spellEnd"/>
      <w:r w:rsidRPr="00E0098A">
        <w:rPr>
          <w:rFonts w:ascii="Calibri" w:hAnsi="Calibri"/>
          <w:b/>
          <w:sz w:val="16"/>
          <w:szCs w:val="16"/>
        </w:rPr>
        <w:t xml:space="preserve"> is also the responsibility of the purchaser and end user of this product to ensure that all appropriate actions necessary for the protection of the environment, and for the health and safety of their employees are observed.</w:t>
      </w:r>
    </w:p>
    <w:p w14:paraId="43A318F7" w14:textId="77777777" w:rsidR="00F25C3E" w:rsidRPr="00B33261" w:rsidRDefault="00B33261" w:rsidP="00B33261">
      <w:pPr>
        <w:jc w:val="center"/>
        <w:rPr>
          <w:rFonts w:ascii="Calibri" w:hAnsi="Calibri"/>
          <w:sz w:val="16"/>
          <w:szCs w:val="16"/>
        </w:rPr>
      </w:pPr>
      <w:r w:rsidRPr="00E0098A">
        <w:rPr>
          <w:rFonts w:ascii="Calibri" w:hAnsi="Calibri"/>
          <w:b/>
          <w:sz w:val="16"/>
          <w:szCs w:val="16"/>
        </w:rPr>
        <w:t>This datasheet replaces all former versions</w:t>
      </w:r>
    </w:p>
    <w:sectPr w:rsidR="00F25C3E" w:rsidRPr="00B33261" w:rsidSect="00F25C3E">
      <w:headerReference w:type="default" r:id="rId9"/>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D0A47" w14:textId="77777777" w:rsidR="00946060" w:rsidRDefault="00946060" w:rsidP="00946060">
      <w:pPr>
        <w:spacing w:after="0" w:line="240" w:lineRule="auto"/>
      </w:pPr>
      <w:r>
        <w:separator/>
      </w:r>
    </w:p>
  </w:endnote>
  <w:endnote w:type="continuationSeparator" w:id="0">
    <w:p w14:paraId="68039278" w14:textId="77777777" w:rsidR="00946060" w:rsidRDefault="00946060" w:rsidP="00946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F54CE" w14:textId="77777777" w:rsidR="00946060" w:rsidRDefault="00946060" w:rsidP="00946060">
      <w:pPr>
        <w:spacing w:after="0" w:line="240" w:lineRule="auto"/>
      </w:pPr>
      <w:r>
        <w:separator/>
      </w:r>
    </w:p>
  </w:footnote>
  <w:footnote w:type="continuationSeparator" w:id="0">
    <w:p w14:paraId="5EA38E9A" w14:textId="77777777" w:rsidR="00946060" w:rsidRDefault="00946060" w:rsidP="00946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57F5" w14:textId="0439F29C" w:rsidR="00946060" w:rsidRDefault="00946060">
    <w:pPr>
      <w:pStyle w:val="Header"/>
    </w:pPr>
    <w:r>
      <w:t>AFT AEROSOLS LTD</w:t>
    </w:r>
    <w:r>
      <w:ptab w:relativeTo="margin" w:alignment="center" w:leader="none"/>
    </w:r>
    <w:r>
      <w:t>ISSUE H5</w:t>
    </w:r>
    <w:r>
      <w:ptab w:relativeTo="margin" w:alignment="right" w:leader="none"/>
    </w:r>
    <w:r>
      <w:t>JANUARY 20</w:t>
    </w:r>
    <w:r w:rsidR="009462DD">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10A31"/>
    <w:multiLevelType w:val="hybridMultilevel"/>
    <w:tmpl w:val="6898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62108"/>
    <w:multiLevelType w:val="hybridMultilevel"/>
    <w:tmpl w:val="E7DA5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AE3D34"/>
    <w:multiLevelType w:val="hybridMultilevel"/>
    <w:tmpl w:val="5720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C3E"/>
    <w:rsid w:val="001557B7"/>
    <w:rsid w:val="001A42AF"/>
    <w:rsid w:val="001B732D"/>
    <w:rsid w:val="001D3B1F"/>
    <w:rsid w:val="002E2C6B"/>
    <w:rsid w:val="003058E5"/>
    <w:rsid w:val="003908F3"/>
    <w:rsid w:val="003E4325"/>
    <w:rsid w:val="00444664"/>
    <w:rsid w:val="00696098"/>
    <w:rsid w:val="006A3019"/>
    <w:rsid w:val="007F4866"/>
    <w:rsid w:val="008A0796"/>
    <w:rsid w:val="008B3855"/>
    <w:rsid w:val="00946060"/>
    <w:rsid w:val="009462DD"/>
    <w:rsid w:val="009901AD"/>
    <w:rsid w:val="009F75F7"/>
    <w:rsid w:val="00AA5B4C"/>
    <w:rsid w:val="00B33261"/>
    <w:rsid w:val="00B618B5"/>
    <w:rsid w:val="00B656B2"/>
    <w:rsid w:val="00C5738C"/>
    <w:rsid w:val="00C9518E"/>
    <w:rsid w:val="00F25C3E"/>
    <w:rsid w:val="00FB3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FFD6"/>
  <w15:chartTrackingRefBased/>
  <w15:docId w15:val="{4A07E245-2EDF-4598-B835-D78E9809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5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C3E"/>
    <w:rPr>
      <w:rFonts w:ascii="Segoe UI" w:hAnsi="Segoe UI" w:cs="Segoe UI"/>
      <w:sz w:val="18"/>
      <w:szCs w:val="18"/>
    </w:rPr>
  </w:style>
  <w:style w:type="paragraph" w:styleId="ListParagraph">
    <w:name w:val="List Paragraph"/>
    <w:basedOn w:val="Normal"/>
    <w:uiPriority w:val="34"/>
    <w:qFormat/>
    <w:rsid w:val="002E2C6B"/>
    <w:pPr>
      <w:ind w:left="720"/>
      <w:contextualSpacing/>
    </w:pPr>
  </w:style>
  <w:style w:type="table" w:styleId="TableGrid">
    <w:name w:val="Table Grid"/>
    <w:basedOn w:val="TableNormal"/>
    <w:uiPriority w:val="39"/>
    <w:rsid w:val="001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60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060"/>
  </w:style>
  <w:style w:type="paragraph" w:styleId="Footer">
    <w:name w:val="footer"/>
    <w:basedOn w:val="Normal"/>
    <w:link w:val="FooterChar"/>
    <w:uiPriority w:val="99"/>
    <w:unhideWhenUsed/>
    <w:rsid w:val="00946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Lee</dc:creator>
  <cp:keywords/>
  <dc:description/>
  <cp:lastModifiedBy>Mike Lee</cp:lastModifiedBy>
  <cp:revision>2</cp:revision>
  <cp:lastPrinted>2019-07-09T14:32:00Z</cp:lastPrinted>
  <dcterms:created xsi:type="dcterms:W3CDTF">2024-06-26T12:08:00Z</dcterms:created>
  <dcterms:modified xsi:type="dcterms:W3CDTF">2024-06-26T12:08:00Z</dcterms:modified>
</cp:coreProperties>
</file>